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2"/>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1 (Transparency Reports)</w:t>
      </w:r>
    </w:p>
    <w:p w:rsidR="00000000" w:rsidDel="00000000" w:rsidP="00000000" w:rsidRDefault="00000000" w:rsidRPr="00000000" w14:paraId="00000002">
      <w:pPr>
        <w:pStyle w:val="Heading3"/>
        <w:numPr>
          <w:ilvl w:val="0"/>
          <w:numId w:val="4"/>
        </w:numPr>
        <w:ind w:left="432" w:hanging="432"/>
        <w:rPr/>
      </w:pPr>
      <w:r w:rsidDel="00000000" w:rsidR="00000000" w:rsidRPr="00000000">
        <w:rPr>
          <w:rtl w:val="0"/>
        </w:rPr>
        <w:t xml:space="preserve">Transparency Reports</w:t>
      </w:r>
    </w:p>
    <w:p w:rsidR="00000000" w:rsidDel="00000000" w:rsidP="00000000" w:rsidRDefault="00000000" w:rsidRPr="00000000" w14:paraId="000000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recognises that the Buyer is subject to PPN 01/17 (Updates to transparency principles v1.1 (</w:t>
      </w:r>
      <w:hyperlink r:id="rId6">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3"/>
        <w:numPr>
          <w:ilvl w:val="2"/>
          <w:numId w:val="2"/>
        </w:numPr>
        <w:tabs>
          <w:tab w:val="left" w:leader="none" w:pos="0"/>
        </w:tabs>
        <w:ind w:left="0" w:firstLine="0"/>
        <w:rPr/>
      </w:pPr>
      <w:r w:rsidDel="00000000" w:rsidR="00000000" w:rsidRPr="00000000">
        <w:rPr>
          <w:rtl w:val="0"/>
        </w:rPr>
        <w:t xml:space="preserve">Annex A: List of Transparency Reports</w:t>
      </w:r>
    </w:p>
    <w:tbl>
      <w:tblPr>
        <w:tblStyle w:val="Table1"/>
        <w:tblW w:w="8992.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Title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Format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Frequency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metrics</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Performance against SLA as outlined in SoR section 17 or as agreed for each SOW</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Word and excel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Three monthly</w:t>
            </w:r>
            <w:r w:rsidDel="00000000" w:rsidR="00000000" w:rsidRPr="00000000">
              <w:rPr>
                <w:rtl w:val="0"/>
              </w:rPr>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Details of work undertaken and payments made.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Word and excel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Three monthly</w:t>
            </w:r>
            <w:r w:rsidDel="00000000" w:rsidR="00000000" w:rsidRPr="00000000">
              <w:rPr>
                <w:rtl w:val="0"/>
              </w:rPr>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Subcontractors and supply chain governance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Spend with key sub-contractors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Word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and underperformance management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Details of any underperformance and plans for rectification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Word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Three monthly</w:t>
            </w:r>
            <w:r w:rsidDel="00000000" w:rsidR="00000000" w:rsidRPr="00000000">
              <w:rPr>
                <w:rtl w:val="0"/>
              </w:rPr>
            </w:r>
          </w:p>
        </w:tc>
      </w:tr>
      <w:tr>
        <w:trPr>
          <w:cantSplit w:val="0"/>
          <w:trHeight w:val="39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Resource plans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Details of types of resource planned to be used on the SOW’s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Three monthly</w:t>
            </w:r>
            <w:r w:rsidDel="00000000" w:rsidR="00000000" w:rsidRPr="00000000">
              <w:rPr>
                <w:rtl w:val="0"/>
              </w:rPr>
            </w:r>
          </w:p>
        </w:tc>
      </w:tr>
    </w:tbl>
    <w:bookmarkStart w:colFirst="0" w:colLast="0" w:name="1fob9te" w:id="2"/>
    <w:bookmarkEnd w:id="2"/>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note: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 PPN 01/17 the following types of information are to be included in the Transparency Reports:</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 prices and any incentivisation mechanisms in the contract</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performance metrics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plans for management of underperformance</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governance arrangements, including those for supply chains where significant contract value rests with subcontractors</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resource plans</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improvement plans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frequency of information release.]</w:t>
      </w:r>
    </w:p>
    <w:sectPr>
      <w:headerReference r:id="rId7" w:type="default"/>
      <w:footerReference r:id="rId8"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39">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3A">
    <w:pPr>
      <w:tabs>
        <w:tab w:val="center" w:leader="none" w:pos="4513"/>
        <w:tab w:val="right" w:leader="none" w:pos="9026"/>
      </w:tabs>
      <w:spacing w:after="0" w:before="0" w:lineRule="auto"/>
      <w:ind w:left="0" w:firstLine="0"/>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